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6804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№</w:t>
            </w:r>
            <w:r/>
          </w:p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п/п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Ошибка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Правильные действия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textDirection w:val="lrTb"/>
            <w:noWrap w:val="false"/>
          </w:tcPr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Прилагается неполный пакет документов к заявке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4" w:type="dxa"/>
            <w:textDirection w:val="lrTb"/>
            <w:noWrap w:val="false"/>
          </w:tcPr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К заявке необходимо приложить документы: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- план расположения ЭПУ (можно начерченный от руки), которое необходимо присоединить, с привязкой к ориентирам;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- однолинейная схема электрических сетей заявителя, присоединяемых к  сетям энергокомпании, номинальный класс напряжения которых составляет 35  кВ и выше;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- копия документа, подтверждающего право собственности или иное  предусмотренное законом основание на объект капитального строительства и  /или земельный участок, на котором расположены/будут располагаться  объекты заявителя, либо право собственности или и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ное предусмотренное  законом основание на ЭПУ;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- доверенность или иные документы, подтверждающие полномочия представителя заявителя, подающего заявку в сетевую компанию;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- перечень и мощность ЭПУ, которые могут быть присоединены к устройствам противоаварийной автоматики;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- для юридических лиц - выписка из Единого государственного реестра  юридических лиц, для индивидуальных предпринимателей - выписка из  Единого государственного реестра индивидуальных предпринимателей;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- копия паспорта гражданина Российской Федерации или иного документа,  удостоверяющего личность, если заявителем выступает индивидуальный  предприниматель или гражданин;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- копия документа, подтверждающего согласие организации,  осуществляющей управление многоквартирным домом либо согласие общего  собрания владельцев жилых помещений многоквартирного дома на организацию  присоединения (для ЭПУ, расположенного в нежилом помещ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ении многоквартирного дома).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textDirection w:val="lrTb"/>
            <w:noWrap w:val="false"/>
          </w:tcPr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В заявке на технологическое присоединение отражаются неполные данны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4" w:type="dxa"/>
            <w:textDirection w:val="lrTb"/>
            <w:noWrap w:val="false"/>
          </w:tcPr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В заявке, направляемой заявителем - юридическим лицом или  индивидуальным предпринимателем в целях технологического присоединения  по одному источнику электроснабжения энергопринимающих устройств,  максимальная мощность которых составляет до 150 кВт включи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тельно (с  учетом ранее присоединенной в данной точке присоединения мощности),  должны быть указаны:    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а) реквизиты заявителя (для юридических лиц - полное наименование  и номер записи в Едином государственном реестре юридических лиц, для  индивидуальных предпринимателей - номер записи в Едином государственном  реестре индивидуальных предпринимателей и дата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ее внесения в реестр, для  физических лиц - фамилия, имя, отчество, серия, номер и дата выдачи  паспорта или иного документа, удостоверяющего личность в соответствии с  законодательством Российской Федерации);    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б) наименование и место нахождения энергопринимающих устройств,  которые необходимо присоединить к электрическим сетям сетевой  организации;    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в) место нахождения заявителя;    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г) сроки проектирования и поэтапного введения в эксплуатацию энергопринимающих устройств (в том числе по этапам и очередям);    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д) поэтапное распределение мощности, сроков ввода и сведения о  категории надежности электроснабжения при вводе энергопринимающих  устройств по этапам и очередям;    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е) максимальная мощность присоединяемых энергопринимающих устройств заявителя;    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ж) характер нагрузки (вид экономической деятельности хозяйствующего субъекта);    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з) пр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едложения по порядку расчетов и условиям рассрочки внесения  платы за технологическое присоединение - для заявителей, максимальная  мощность энергопринимающих устройств которых составляет свыше 15 и до  150 кВт включительно.    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textDirection w:val="lrTb"/>
            <w:noWrap w:val="false"/>
          </w:tcPr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Подача заявки в отношении одних и тех же энергопринимающих устройств одновременно в несколько сетевых организаций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804" w:type="dxa"/>
            <w:textDirection w:val="lrTb"/>
            <w:noWrap w:val="false"/>
          </w:tcPr>
          <w:p>
            <w:pPr>
              <w:ind w:left="0" w:right="0" w:firstLine="0"/>
              <w:spacing w:after="240" w:before="240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Подача в отношении одних и тех же энергопринимающих устройств одновременно 2 и более заявок в разные сетевые организации не допускается, за исключением случаев технологического присоединения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r/>
            <w:r/>
          </w:p>
        </w:tc>
      </w:tr>
    </w:tbl>
    <w:p>
      <w:r/>
      <w:r/>
    </w:p>
    <w:sectPr>
      <w:footnotePr/>
      <w:type w:val="nextPage"/>
      <w:pgSz w:w="11906" w:h="16838" w:orient="portrait"/>
      <w:pgMar w:top="1134" w:right="850" w:bottom="1134" w:left="1701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68"/>
    <w:next w:val="36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68"/>
    <w:next w:val="36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68"/>
    <w:next w:val="36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68"/>
    <w:next w:val="36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68"/>
    <w:next w:val="36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68"/>
    <w:next w:val="36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68"/>
    <w:next w:val="36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68"/>
    <w:next w:val="36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68"/>
    <w:next w:val="36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68"/>
    <w:next w:val="36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68"/>
    <w:next w:val="36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68"/>
    <w:next w:val="36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68"/>
    <w:next w:val="36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6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6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6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4">
    <w:name w:val="List Table 7 Colorful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5">
    <w:name w:val="List Table 7 Colorful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6">
    <w:name w:val="List Table 7 Colorful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7">
    <w:name w:val="List Table 7 Colorful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8">
    <w:name w:val="List Table 7 Colorful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9">
    <w:name w:val="Lined - Accent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36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9"/>
    <w:uiPriority w:val="99"/>
    <w:unhideWhenUsed/>
    <w:rPr>
      <w:vertAlign w:val="superscript"/>
    </w:rPr>
  </w:style>
  <w:style w:type="paragraph" w:styleId="174">
    <w:name w:val="toc 1"/>
    <w:basedOn w:val="368"/>
    <w:next w:val="368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368"/>
    <w:next w:val="368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368"/>
    <w:next w:val="368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368"/>
    <w:next w:val="368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368"/>
    <w:next w:val="368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368"/>
    <w:next w:val="368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368"/>
    <w:next w:val="368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368"/>
    <w:next w:val="368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368"/>
    <w:next w:val="368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68" w:default="1">
    <w:name w:val="Normal"/>
    <w:qFormat/>
  </w:style>
  <w:style w:type="table" w:styleId="3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0" w:default="1">
    <w:name w:val="No List"/>
    <w:uiPriority w:val="99"/>
    <w:semiHidden/>
    <w:unhideWhenUsed/>
  </w:style>
  <w:style w:type="paragraph" w:styleId="371">
    <w:name w:val="No Spacing"/>
    <w:basedOn w:val="368"/>
    <w:qFormat/>
    <w:uiPriority w:val="1"/>
    <w:pPr>
      <w:spacing w:lineRule="auto" w:line="240" w:after="0"/>
    </w:pPr>
  </w:style>
  <w:style w:type="paragraph" w:styleId="372">
    <w:name w:val="List Paragraph"/>
    <w:basedOn w:val="368"/>
    <w:qFormat/>
    <w:uiPriority w:val="34"/>
    <w:pPr>
      <w:contextualSpacing w:val="true"/>
      <w:ind w:left="720"/>
    </w:pPr>
  </w:style>
  <w:style w:type="character" w:styleId="37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2020-10-12T06:03:43Z</dcterms:modified>
</cp:coreProperties>
</file>